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C5" w:rsidRDefault="00852169" w:rsidP="00CB4637">
      <w:pPr>
        <w:pStyle w:val="Overskrift1"/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C88BEB9" wp14:editId="2509A736">
            <wp:simplePos x="0" y="0"/>
            <wp:positionH relativeFrom="column">
              <wp:posOffset>5421630</wp:posOffset>
            </wp:positionH>
            <wp:positionV relativeFrom="paragraph">
              <wp:posOffset>-444500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</w:t>
      </w:r>
      <w:r w:rsidRPr="00AE73CD">
        <w:rPr>
          <w:rStyle w:val="Svagfremhvning"/>
          <w:b/>
          <w:sz w:val="22"/>
          <w:szCs w:val="22"/>
        </w:rPr>
        <w:t xml:space="preserve">bilag </w:t>
      </w:r>
      <w:r w:rsidR="00CF0247">
        <w:rPr>
          <w:rStyle w:val="Svagfremhvning"/>
          <w:b/>
          <w:sz w:val="22"/>
          <w:szCs w:val="22"/>
        </w:rPr>
        <w:t>1</w:t>
      </w:r>
      <w:r w:rsidR="00BE65C3">
        <w:rPr>
          <w:rStyle w:val="Svagfremhvning"/>
          <w:b/>
          <w:sz w:val="22"/>
          <w:szCs w:val="22"/>
        </w:rPr>
        <w:t>3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>en del af eksempelmaterialet til</w:t>
      </w:r>
      <w:r w:rsidRPr="002F45FC">
        <w:rPr>
          <w:rStyle w:val="Svagfremhvning"/>
          <w:sz w:val="22"/>
          <w:szCs w:val="22"/>
        </w:rPr>
        <w:t xml:space="preserve"> </w:t>
      </w:r>
      <w:hyperlink r:id="rId10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vejledningen</w:t>
        </w:r>
      </w:hyperlink>
      <w:r w:rsidR="00AC39A3" w:rsidRPr="00AE73CD">
        <w:rPr>
          <w:rStyle w:val="Svagfremhvning"/>
          <w:i w:val="0"/>
          <w:sz w:val="22"/>
          <w:szCs w:val="22"/>
        </w:rPr>
        <w:t xml:space="preserve"> </w:t>
      </w:r>
      <w:r w:rsidR="00C62E45">
        <w:rPr>
          <w:rStyle w:val="Svagfremhvning"/>
          <w:i w:val="0"/>
          <w:sz w:val="22"/>
          <w:szCs w:val="22"/>
        </w:rPr>
        <w:t xml:space="preserve">fra 2019 </w:t>
      </w:r>
      <w:r w:rsidR="00AE73CD" w:rsidRPr="00AE73CD">
        <w:rPr>
          <w:rStyle w:val="Svagfremhvning"/>
          <w:i w:val="0"/>
          <w:sz w:val="22"/>
          <w:szCs w:val="22"/>
        </w:rPr>
        <w:t>for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11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matematik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BC4192">
        <w:rPr>
          <w:rStyle w:val="Svagfremhvning"/>
          <w:sz w:val="22"/>
          <w:szCs w:val="22"/>
        </w:rPr>
        <w:t>.</w:t>
      </w:r>
      <w:r w:rsidR="00CF0247">
        <w:rPr>
          <w:rStyle w:val="Svagfremhvning"/>
          <w:sz w:val="22"/>
          <w:szCs w:val="22"/>
        </w:rPr>
        <w:br/>
      </w:r>
      <w:r w:rsidR="00CF0247" w:rsidRPr="00CF0247">
        <w:rPr>
          <w:rStyle w:val="Svagfremhvning"/>
          <w:sz w:val="22"/>
          <w:szCs w:val="22"/>
        </w:rPr>
        <w:t xml:space="preserve">Eksempel på </w:t>
      </w:r>
      <w:r w:rsidR="00713EB1">
        <w:rPr>
          <w:rStyle w:val="Svagfremhvning"/>
          <w:sz w:val="22"/>
          <w:szCs w:val="22"/>
        </w:rPr>
        <w:t>d</w:t>
      </w:r>
      <w:r w:rsidR="00713EB1" w:rsidRPr="00713EB1">
        <w:rPr>
          <w:rStyle w:val="Svagfremhvning"/>
          <w:sz w:val="22"/>
          <w:szCs w:val="22"/>
        </w:rPr>
        <w:t>et digitale værktøj som d</w:t>
      </w:r>
      <w:r w:rsidR="004D3F8A">
        <w:rPr>
          <w:rStyle w:val="Svagfremhvning"/>
          <w:sz w:val="22"/>
          <w:szCs w:val="22"/>
        </w:rPr>
        <w:t>idaktisk middel i undervisningen.</w:t>
      </w:r>
      <w:r>
        <w:rPr>
          <w:rStyle w:val="Svagfremhvning"/>
          <w:sz w:val="22"/>
          <w:szCs w:val="22"/>
        </w:rPr>
        <w:br/>
      </w:r>
      <w:r w:rsidR="002C7938" w:rsidRPr="002C7938">
        <w:t xml:space="preserve"> </w:t>
      </w:r>
    </w:p>
    <w:p w:rsidR="00CF0247" w:rsidRDefault="00713EB1" w:rsidP="00CF0247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9E3C9" wp14:editId="27445E54">
                <wp:simplePos x="0" y="0"/>
                <wp:positionH relativeFrom="column">
                  <wp:posOffset>13335</wp:posOffset>
                </wp:positionH>
                <wp:positionV relativeFrom="paragraph">
                  <wp:posOffset>459740</wp:posOffset>
                </wp:positionV>
                <wp:extent cx="86677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6.2pt" to="69.3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" strokecolor="#ce4b58" strokeweight="1.75pt"/>
            </w:pict>
          </mc:Fallback>
        </mc:AlternateContent>
      </w:r>
      <w:r w:rsidR="00CB4637" w:rsidRPr="00CB4637">
        <w:t xml:space="preserve"> </w:t>
      </w:r>
      <w:r w:rsidR="00BE65C3">
        <w:rPr>
          <w:rFonts w:asciiTheme="majorHAnsi" w:eastAsiaTheme="majorEastAsia" w:hAnsiTheme="majorHAnsi" w:cs="Times New Roman"/>
          <w:bCs/>
          <w:sz w:val="52"/>
          <w:szCs w:val="52"/>
        </w:rPr>
        <w:t>Dialogopgave - padlet</w:t>
      </w:r>
    </w:p>
    <w:p w:rsidR="00BE65C3" w:rsidRDefault="00BE65C3" w:rsidP="00BE65C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zCs w:val="24"/>
        </w:rPr>
        <w:t>ktivitet</w:t>
      </w:r>
      <w:r>
        <w:rPr>
          <w:rFonts w:eastAsia="Times New Roman" w:cs="Times New Roman"/>
          <w:szCs w:val="24"/>
        </w:rPr>
        <w:t xml:space="preserve">en </w:t>
      </w:r>
      <w:bookmarkStart w:id="0" w:name="_GoBack"/>
      <w:bookmarkEnd w:id="0"/>
      <w:r>
        <w:rPr>
          <w:rFonts w:eastAsia="Times New Roman" w:cs="Times New Roman"/>
          <w:szCs w:val="24"/>
        </w:rPr>
        <w:t>foregår i padlet.dk. Aktiviteten har til formål, at arbejdet med emnet brøker indledes med en afdækning af, hvad eleverne i klassen ved om emnet i forvejen. Opgaven afdækker elevernes forudgående viden, og denne viden bliver tillige delt i klassen.</w:t>
      </w:r>
    </w:p>
    <w:p w:rsidR="00BE65C3" w:rsidRDefault="00BE65C3" w:rsidP="00BE65C3">
      <w:pPr>
        <w:rPr>
          <w:lang w:val="en-US"/>
        </w:rPr>
      </w:pPr>
    </w:p>
    <w:p w:rsidR="00BE65C3" w:rsidRPr="00BE65C3" w:rsidRDefault="00BE65C3" w:rsidP="00BE65C3">
      <w:pPr>
        <w:rPr>
          <w:b/>
          <w:lang w:val="en-US"/>
        </w:rPr>
      </w:pPr>
      <w:proofErr w:type="spellStart"/>
      <w:r w:rsidRPr="00BE65C3">
        <w:rPr>
          <w:b/>
          <w:lang w:val="en-US"/>
        </w:rPr>
        <w:t>Dialogopgave</w:t>
      </w:r>
      <w:proofErr w:type="spellEnd"/>
    </w:p>
    <w:p w:rsidR="00BE65C3" w:rsidRPr="00BE65C3" w:rsidRDefault="00BE65C3" w:rsidP="00BE65C3">
      <w:pPr>
        <w:rPr>
          <w:lang w:val="en-US"/>
        </w:rPr>
      </w:pPr>
      <w:r w:rsidRPr="00066663">
        <w:t>Klik på linket til padlet, som jeg (læreren) har sendt i en mail. Skriv opslag om, hvad du allerede ved om brøker</w:t>
      </w:r>
      <w:r w:rsidRPr="007840DC">
        <w:t xml:space="preserve">.  Fortsæt indtil </w:t>
      </w:r>
      <w:r>
        <w:t>jeg</w:t>
      </w:r>
      <w:r w:rsidRPr="007840DC">
        <w:t xml:space="preserve"> siger til. </w:t>
      </w:r>
    </w:p>
    <w:p w:rsidR="00BE65C3" w:rsidRDefault="00BE65C3" w:rsidP="00BE65C3">
      <w:r w:rsidRPr="007840DC">
        <w:t xml:space="preserve">Gennemgå </w:t>
      </w:r>
      <w:r>
        <w:t xml:space="preserve">derefter </w:t>
      </w:r>
      <w:r w:rsidRPr="007840DC">
        <w:t xml:space="preserve">opslagene to og to og snak om indholdet. I skal hjælpe hinanden med at forstå, hvad der står, og kontrollere, om I også ved det, der står på de enkelte opslag. Spørg, hvis der er nogle, I ikke forstår. </w:t>
      </w:r>
    </w:p>
    <w:p w:rsidR="00BE65C3" w:rsidRDefault="00BE65C3" w:rsidP="00BE65C3">
      <w:r w:rsidRPr="00952AB9">
        <w:t xml:space="preserve">Lav opgaver til hinanden af den slags, som står på opslagene. </w:t>
      </w:r>
    </w:p>
    <w:p w:rsidR="00BE65C3" w:rsidRDefault="00BE65C3" w:rsidP="00BE65C3">
      <w:proofErr w:type="spellStart"/>
      <w:r w:rsidRPr="00952AB9">
        <w:t>Padlet’en</w:t>
      </w:r>
      <w:proofErr w:type="spellEnd"/>
      <w:r w:rsidRPr="00952AB9">
        <w:t xml:space="preserve"> vil vokse som herunder:</w:t>
      </w:r>
    </w:p>
    <w:p w:rsidR="00BE65C3" w:rsidRPr="00F17D84" w:rsidRDefault="00BE65C3" w:rsidP="00BE65C3">
      <w:pPr>
        <w:jc w:val="center"/>
        <w:rPr>
          <w:rStyle w:val="normaltextrun"/>
        </w:rPr>
      </w:pPr>
      <w:r>
        <w:rPr>
          <w:noProof/>
          <w:lang w:eastAsia="da-DK"/>
        </w:rPr>
        <w:drawing>
          <wp:inline distT="0" distB="0" distL="0" distR="0" wp14:anchorId="42000765" wp14:editId="162885E3">
            <wp:extent cx="5907377" cy="3708400"/>
            <wp:effectExtent l="0" t="0" r="0" b="635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8563" cy="370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5C3" w:rsidRDefault="00BE65C3" w:rsidP="00BE65C3"/>
    <w:p w:rsidR="00BE65C3" w:rsidRDefault="00BE65C3" w:rsidP="00BE65C3"/>
    <w:sectPr w:rsidR="00BE65C3" w:rsidSect="003A42A9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9818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D72E33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10217"/>
    <w:rsid w:val="000228C0"/>
    <w:rsid w:val="00080597"/>
    <w:rsid w:val="000C62A2"/>
    <w:rsid w:val="000F71EA"/>
    <w:rsid w:val="0011579B"/>
    <w:rsid w:val="00141B83"/>
    <w:rsid w:val="0015088F"/>
    <w:rsid w:val="001730D4"/>
    <w:rsid w:val="001A2C83"/>
    <w:rsid w:val="001C51DC"/>
    <w:rsid w:val="001F1F6D"/>
    <w:rsid w:val="002425AC"/>
    <w:rsid w:val="00253180"/>
    <w:rsid w:val="002869EA"/>
    <w:rsid w:val="00290859"/>
    <w:rsid w:val="002A57C4"/>
    <w:rsid w:val="002C5A11"/>
    <w:rsid w:val="002C7938"/>
    <w:rsid w:val="002E059C"/>
    <w:rsid w:val="002E57CF"/>
    <w:rsid w:val="002F45FC"/>
    <w:rsid w:val="00311081"/>
    <w:rsid w:val="003111D2"/>
    <w:rsid w:val="00331B89"/>
    <w:rsid w:val="00332B35"/>
    <w:rsid w:val="00380FF5"/>
    <w:rsid w:val="003A42A9"/>
    <w:rsid w:val="003E1FD2"/>
    <w:rsid w:val="004823A9"/>
    <w:rsid w:val="004D3F8A"/>
    <w:rsid w:val="004E6C69"/>
    <w:rsid w:val="00516819"/>
    <w:rsid w:val="00557564"/>
    <w:rsid w:val="00562CDF"/>
    <w:rsid w:val="00571FF7"/>
    <w:rsid w:val="00572AF3"/>
    <w:rsid w:val="00587548"/>
    <w:rsid w:val="005A1005"/>
    <w:rsid w:val="005C503D"/>
    <w:rsid w:val="00602F04"/>
    <w:rsid w:val="00622D4B"/>
    <w:rsid w:val="00654B10"/>
    <w:rsid w:val="006800CE"/>
    <w:rsid w:val="006A36A0"/>
    <w:rsid w:val="006A48AB"/>
    <w:rsid w:val="006C39DB"/>
    <w:rsid w:val="007114EE"/>
    <w:rsid w:val="00713EB1"/>
    <w:rsid w:val="0074659C"/>
    <w:rsid w:val="00811389"/>
    <w:rsid w:val="008311E5"/>
    <w:rsid w:val="008339F5"/>
    <w:rsid w:val="00852169"/>
    <w:rsid w:val="008904DA"/>
    <w:rsid w:val="008A669C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61366"/>
    <w:rsid w:val="00AB3D00"/>
    <w:rsid w:val="00AC39A3"/>
    <w:rsid w:val="00AC71A1"/>
    <w:rsid w:val="00AE73CD"/>
    <w:rsid w:val="00B2167D"/>
    <w:rsid w:val="00B619BE"/>
    <w:rsid w:val="00BC4192"/>
    <w:rsid w:val="00BE65C3"/>
    <w:rsid w:val="00C62E45"/>
    <w:rsid w:val="00CB121B"/>
    <w:rsid w:val="00CB2F08"/>
    <w:rsid w:val="00CB4637"/>
    <w:rsid w:val="00CE772E"/>
    <w:rsid w:val="00CF0247"/>
    <w:rsid w:val="00D1042A"/>
    <w:rsid w:val="00D52019"/>
    <w:rsid w:val="00D60034"/>
    <w:rsid w:val="00D60C7A"/>
    <w:rsid w:val="00D72529"/>
    <w:rsid w:val="00D86BD3"/>
    <w:rsid w:val="00D934AC"/>
    <w:rsid w:val="00DC06F5"/>
    <w:rsid w:val="00DE0FBF"/>
    <w:rsid w:val="00E50234"/>
    <w:rsid w:val="00E758CB"/>
    <w:rsid w:val="00EA281B"/>
    <w:rsid w:val="00EF1C5E"/>
    <w:rsid w:val="00F422A0"/>
    <w:rsid w:val="00F55E1A"/>
    <w:rsid w:val="00F65523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BE65C3"/>
    <w:pPr>
      <w:numPr>
        <w:numId w:val="3"/>
      </w:numPr>
      <w:contextualSpacing/>
    </w:pPr>
    <w:rPr>
      <w:rFonts w:asciiTheme="minorHAnsi" w:hAnsiTheme="minorHAnsi"/>
      <w:sz w:val="22"/>
      <w:szCs w:val="22"/>
    </w:rPr>
  </w:style>
  <w:style w:type="character" w:customStyle="1" w:styleId="normaltextrun">
    <w:name w:val="normaltextrun"/>
    <w:basedOn w:val="Standardskrifttypeiafsnit"/>
    <w:rsid w:val="00BE6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paragraph" w:styleId="Opstilling-punkttegn">
    <w:name w:val="List Bullet"/>
    <w:basedOn w:val="Normal"/>
    <w:uiPriority w:val="99"/>
    <w:unhideWhenUsed/>
    <w:rsid w:val="00BE65C3"/>
    <w:pPr>
      <w:numPr>
        <w:numId w:val="3"/>
      </w:numPr>
      <w:contextualSpacing/>
    </w:pPr>
    <w:rPr>
      <w:rFonts w:asciiTheme="minorHAnsi" w:hAnsiTheme="minorHAnsi"/>
      <w:sz w:val="22"/>
      <w:szCs w:val="22"/>
    </w:rPr>
  </w:style>
  <w:style w:type="character" w:customStyle="1" w:styleId="normaltextrun">
    <w:name w:val="normaltextrun"/>
    <w:basedOn w:val="Standardskrifttypeiafsnit"/>
    <w:rsid w:val="00B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u.dk/eud/matemati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u.dk/eud/matematik/fagbilag-vejledning-og-pro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AFBB-5FCF-492E-BDFB-5DDABA08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cp:lastPrinted>2019-01-09T14:05:00Z</cp:lastPrinted>
  <dcterms:created xsi:type="dcterms:W3CDTF">2019-06-07T13:30:00Z</dcterms:created>
  <dcterms:modified xsi:type="dcterms:W3CDTF">2019-06-07T13:30:00Z</dcterms:modified>
</cp:coreProperties>
</file>